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417" w:type="dxa"/>
        <w:jc w:val="center"/>
        <w:tblLayout w:type="fixed"/>
        <w:tblLook w:val="04A0" w:firstRow="1" w:lastRow="0" w:firstColumn="1" w:lastColumn="0" w:noHBand="0" w:noVBand="1"/>
      </w:tblPr>
      <w:tblGrid>
        <w:gridCol w:w="2235"/>
        <w:gridCol w:w="1984"/>
        <w:gridCol w:w="4678"/>
        <w:gridCol w:w="4990"/>
        <w:gridCol w:w="1530"/>
      </w:tblGrid>
      <w:tr w:rsidR="0092755C" w:rsidRPr="00683919" w:rsidTr="0092755C">
        <w:trPr>
          <w:jc w:val="center"/>
        </w:trPr>
        <w:tc>
          <w:tcPr>
            <w:tcW w:w="15417" w:type="dxa"/>
            <w:gridSpan w:val="5"/>
            <w:shd w:val="clear" w:color="auto" w:fill="CFDCE3"/>
            <w:tcMar>
              <w:top w:w="57" w:type="dxa"/>
              <w:bottom w:w="57" w:type="dxa"/>
            </w:tcMar>
          </w:tcPr>
          <w:p w:rsidR="0092755C" w:rsidRPr="00683919" w:rsidRDefault="0092755C" w:rsidP="0092755C">
            <w:pPr>
              <w:pStyle w:val="ListParagraph"/>
              <w:numPr>
                <w:ilvl w:val="0"/>
                <w:numId w:val="2"/>
              </w:numPr>
              <w:ind w:left="426" w:hanging="284"/>
              <w:rPr>
                <w:rFonts w:cstheme="minorHAnsi"/>
                <w:b/>
              </w:rPr>
            </w:pPr>
            <w:r w:rsidRPr="00683919">
              <w:rPr>
                <w:rFonts w:cstheme="minorHAnsi"/>
                <w:b/>
              </w:rPr>
              <w:t xml:space="preserve">Review of expenditure </w:t>
            </w:r>
          </w:p>
        </w:tc>
      </w:tr>
      <w:tr w:rsidR="0092755C" w:rsidRPr="00683919" w:rsidTr="0092755C">
        <w:trPr>
          <w:trHeight w:val="1378"/>
          <w:jc w:val="center"/>
        </w:trPr>
        <w:tc>
          <w:tcPr>
            <w:tcW w:w="4219" w:type="dxa"/>
            <w:gridSpan w:val="2"/>
            <w:shd w:val="clear" w:color="auto" w:fill="auto"/>
            <w:tcMar>
              <w:top w:w="57" w:type="dxa"/>
              <w:bottom w:w="57" w:type="dxa"/>
            </w:tcMar>
          </w:tcPr>
          <w:p w:rsidR="0092755C" w:rsidRPr="00683919" w:rsidRDefault="0092755C" w:rsidP="00FB50C7">
            <w:pPr>
              <w:rPr>
                <w:rFonts w:cstheme="minorHAnsi"/>
                <w:b/>
              </w:rPr>
            </w:pPr>
            <w:r w:rsidRPr="00683919">
              <w:rPr>
                <w:rFonts w:cstheme="minorHAnsi"/>
                <w:b/>
              </w:rPr>
              <w:t>Previous Academic Year</w:t>
            </w:r>
          </w:p>
        </w:tc>
        <w:tc>
          <w:tcPr>
            <w:tcW w:w="11198" w:type="dxa"/>
            <w:gridSpan w:val="3"/>
            <w:shd w:val="clear" w:color="auto" w:fill="auto"/>
          </w:tcPr>
          <w:p w:rsidR="0092755C" w:rsidRPr="00683919" w:rsidRDefault="0092755C" w:rsidP="00FB50C7">
            <w:pPr>
              <w:rPr>
                <w:rFonts w:cstheme="minorHAnsi"/>
                <w:b/>
              </w:rPr>
            </w:pPr>
            <w:r>
              <w:rPr>
                <w:rFonts w:cstheme="minorHAnsi"/>
                <w:b/>
              </w:rPr>
              <w:t>2020-2021</w:t>
            </w:r>
          </w:p>
          <w:p w:rsidR="0092755C" w:rsidRPr="00683919" w:rsidRDefault="0092755C" w:rsidP="00FB50C7">
            <w:pPr>
              <w:rPr>
                <w:rFonts w:cstheme="minorHAnsi"/>
                <w:b/>
              </w:rPr>
            </w:pPr>
          </w:p>
        </w:tc>
      </w:tr>
      <w:tr w:rsidR="0092755C" w:rsidRPr="00683919" w:rsidTr="0092755C">
        <w:trPr>
          <w:jc w:val="center"/>
        </w:trPr>
        <w:tc>
          <w:tcPr>
            <w:tcW w:w="15417" w:type="dxa"/>
            <w:gridSpan w:val="5"/>
            <w:shd w:val="clear" w:color="auto" w:fill="FFFFFF" w:themeFill="background1"/>
            <w:tcMar>
              <w:top w:w="57" w:type="dxa"/>
              <w:bottom w:w="57" w:type="dxa"/>
            </w:tcMar>
          </w:tcPr>
          <w:p w:rsidR="0092755C" w:rsidRPr="00683919" w:rsidRDefault="0092755C" w:rsidP="0092755C">
            <w:pPr>
              <w:pStyle w:val="ListParagraph"/>
              <w:numPr>
                <w:ilvl w:val="0"/>
                <w:numId w:val="1"/>
              </w:numPr>
              <w:ind w:left="426" w:hanging="142"/>
              <w:rPr>
                <w:rFonts w:cstheme="minorHAnsi"/>
                <w:b/>
              </w:rPr>
            </w:pPr>
            <w:r w:rsidRPr="00683919">
              <w:rPr>
                <w:rFonts w:cstheme="minorHAnsi"/>
                <w:b/>
              </w:rPr>
              <w:t>Quality of teaching for all</w:t>
            </w:r>
          </w:p>
        </w:tc>
      </w:tr>
      <w:tr w:rsidR="0092755C" w:rsidRPr="00683919" w:rsidTr="0092755C">
        <w:trPr>
          <w:jc w:val="center"/>
        </w:trPr>
        <w:tc>
          <w:tcPr>
            <w:tcW w:w="2235" w:type="dxa"/>
            <w:tcMar>
              <w:top w:w="57" w:type="dxa"/>
              <w:bottom w:w="57" w:type="dxa"/>
            </w:tcMar>
          </w:tcPr>
          <w:p w:rsidR="0092755C" w:rsidRPr="00683919" w:rsidRDefault="0092755C" w:rsidP="00FB50C7">
            <w:pPr>
              <w:rPr>
                <w:rFonts w:cstheme="minorHAnsi"/>
                <w:b/>
              </w:rPr>
            </w:pPr>
            <w:r w:rsidRPr="00683919">
              <w:rPr>
                <w:rFonts w:cstheme="minorHAnsi"/>
                <w:b/>
              </w:rPr>
              <w:t>Desired outcome</w:t>
            </w:r>
          </w:p>
        </w:tc>
        <w:tc>
          <w:tcPr>
            <w:tcW w:w="1984" w:type="dxa"/>
            <w:tcMar>
              <w:top w:w="57" w:type="dxa"/>
              <w:bottom w:w="57" w:type="dxa"/>
            </w:tcMar>
          </w:tcPr>
          <w:p w:rsidR="0092755C" w:rsidRPr="00683919" w:rsidRDefault="0092755C" w:rsidP="00FB50C7">
            <w:pPr>
              <w:rPr>
                <w:rFonts w:cstheme="minorHAnsi"/>
                <w:b/>
              </w:rPr>
            </w:pPr>
            <w:r w:rsidRPr="00683919">
              <w:rPr>
                <w:rFonts w:cstheme="minorHAnsi"/>
                <w:b/>
              </w:rPr>
              <w:t>Chosen action / approach</w:t>
            </w:r>
          </w:p>
        </w:tc>
        <w:tc>
          <w:tcPr>
            <w:tcW w:w="4678" w:type="dxa"/>
            <w:tcMar>
              <w:top w:w="57" w:type="dxa"/>
              <w:bottom w:w="57" w:type="dxa"/>
            </w:tcMar>
          </w:tcPr>
          <w:p w:rsidR="0092755C" w:rsidRPr="00683919" w:rsidRDefault="0092755C" w:rsidP="00FB50C7">
            <w:pPr>
              <w:rPr>
                <w:rFonts w:cstheme="minorHAnsi"/>
              </w:rPr>
            </w:pPr>
            <w:r w:rsidRPr="00683919">
              <w:rPr>
                <w:rFonts w:cstheme="minorHAnsi"/>
                <w:b/>
              </w:rPr>
              <w:t xml:space="preserve">Estimated impact: </w:t>
            </w:r>
            <w:r w:rsidRPr="00683919">
              <w:rPr>
                <w:rFonts w:cstheme="minorHAnsi"/>
              </w:rPr>
              <w:t>Did you meet the success criteria? Include impact on pupils not eligible for PP, if appropriate.</w:t>
            </w:r>
          </w:p>
        </w:tc>
        <w:tc>
          <w:tcPr>
            <w:tcW w:w="4990" w:type="dxa"/>
            <w:tcMar>
              <w:top w:w="57" w:type="dxa"/>
              <w:bottom w:w="57" w:type="dxa"/>
            </w:tcMar>
          </w:tcPr>
          <w:p w:rsidR="0092755C" w:rsidRPr="00683919" w:rsidRDefault="0092755C" w:rsidP="00FB50C7">
            <w:pPr>
              <w:rPr>
                <w:rFonts w:cstheme="minorHAnsi"/>
                <w:b/>
              </w:rPr>
            </w:pPr>
            <w:r w:rsidRPr="00683919">
              <w:rPr>
                <w:rFonts w:cstheme="minorHAnsi"/>
                <w:b/>
              </w:rPr>
              <w:t xml:space="preserve">Lessons learned </w:t>
            </w:r>
          </w:p>
          <w:p w:rsidR="0092755C" w:rsidRPr="00683919" w:rsidRDefault="0092755C" w:rsidP="00FB50C7">
            <w:pPr>
              <w:rPr>
                <w:rFonts w:cstheme="minorHAnsi"/>
                <w:b/>
              </w:rPr>
            </w:pPr>
            <w:r w:rsidRPr="00683919">
              <w:rPr>
                <w:rFonts w:cstheme="minorHAnsi"/>
              </w:rPr>
              <w:t>(and whether you will continue with this approach)</w:t>
            </w:r>
          </w:p>
        </w:tc>
        <w:tc>
          <w:tcPr>
            <w:tcW w:w="1530" w:type="dxa"/>
          </w:tcPr>
          <w:p w:rsidR="0092755C" w:rsidRPr="00683919" w:rsidRDefault="0092755C" w:rsidP="00FB50C7">
            <w:pPr>
              <w:rPr>
                <w:rFonts w:cstheme="minorHAnsi"/>
                <w:b/>
              </w:rPr>
            </w:pPr>
            <w:r w:rsidRPr="00683919">
              <w:rPr>
                <w:rFonts w:cstheme="minorHAnsi"/>
                <w:b/>
              </w:rPr>
              <w:t>Cost</w:t>
            </w:r>
          </w:p>
        </w:tc>
      </w:tr>
      <w:tr w:rsidR="00DB54AE" w:rsidRPr="00683919" w:rsidTr="0092755C">
        <w:trPr>
          <w:jc w:val="center"/>
        </w:trPr>
        <w:tc>
          <w:tcPr>
            <w:tcW w:w="2235" w:type="dxa"/>
            <w:tcMar>
              <w:top w:w="57" w:type="dxa"/>
              <w:bottom w:w="57" w:type="dxa"/>
            </w:tcMar>
          </w:tcPr>
          <w:p w:rsidR="00DB54AE" w:rsidRPr="00683919" w:rsidRDefault="00DB54AE" w:rsidP="00DB54AE">
            <w:pPr>
              <w:tabs>
                <w:tab w:val="left" w:pos="2128"/>
              </w:tabs>
              <w:rPr>
                <w:rFonts w:cstheme="minorHAnsi"/>
              </w:rPr>
            </w:pPr>
            <w:r w:rsidRPr="00683919">
              <w:rPr>
                <w:rFonts w:cstheme="minorHAnsi"/>
              </w:rPr>
              <w:t>Ensure that all day to day teaching meets the needs of each learner, so that those children eligible for PPG, but already working at or above EXS, continue to progress and retain their current levels of achievement.</w:t>
            </w:r>
          </w:p>
        </w:tc>
        <w:tc>
          <w:tcPr>
            <w:tcW w:w="1984" w:type="dxa"/>
            <w:tcMar>
              <w:top w:w="57" w:type="dxa"/>
              <w:bottom w:w="57" w:type="dxa"/>
            </w:tcMar>
          </w:tcPr>
          <w:p w:rsidR="00DB54AE" w:rsidRPr="00683919" w:rsidRDefault="00DB54AE" w:rsidP="00DB54AE">
            <w:pPr>
              <w:pStyle w:val="NormalWeb"/>
              <w:shd w:val="clear" w:color="auto" w:fill="FFFFFF"/>
              <w:spacing w:before="0" w:beforeAutospacing="0" w:after="0"/>
              <w:rPr>
                <w:rFonts w:asciiTheme="minorHAnsi" w:hAnsiTheme="minorHAnsi" w:cstheme="minorHAnsi"/>
                <w:sz w:val="22"/>
                <w:szCs w:val="22"/>
              </w:rPr>
            </w:pPr>
            <w:r w:rsidRPr="00683919">
              <w:rPr>
                <w:rFonts w:asciiTheme="minorHAnsi" w:hAnsiTheme="minorHAnsi" w:cstheme="minorHAnsi"/>
                <w:sz w:val="22"/>
                <w:szCs w:val="22"/>
              </w:rPr>
              <w:t xml:space="preserve">Purchase of the Rotherham School Improvement Service (RoSIS) CPD offer.  This doesn’t take account of the cover costs associated with having staff out on the courses. </w:t>
            </w:r>
          </w:p>
          <w:p w:rsidR="00DB54AE" w:rsidRPr="00683919" w:rsidRDefault="00DB54AE" w:rsidP="00DB54AE">
            <w:pPr>
              <w:pStyle w:val="NormalWeb"/>
              <w:shd w:val="clear" w:color="auto" w:fill="FFFFFF"/>
              <w:spacing w:before="0" w:beforeAutospacing="0" w:after="0"/>
              <w:rPr>
                <w:rFonts w:asciiTheme="minorHAnsi" w:hAnsiTheme="minorHAnsi" w:cstheme="minorHAnsi"/>
                <w:b/>
                <w:sz w:val="22"/>
                <w:szCs w:val="22"/>
              </w:rPr>
            </w:pPr>
          </w:p>
        </w:tc>
        <w:tc>
          <w:tcPr>
            <w:tcW w:w="4678" w:type="dxa"/>
            <w:tcMar>
              <w:top w:w="57" w:type="dxa"/>
              <w:bottom w:w="57" w:type="dxa"/>
            </w:tcMar>
          </w:tcPr>
          <w:p w:rsidR="00DB54AE" w:rsidRPr="00683919" w:rsidRDefault="00DB54AE" w:rsidP="00DB54AE">
            <w:pPr>
              <w:rPr>
                <w:rFonts w:cstheme="minorHAnsi"/>
              </w:rPr>
            </w:pPr>
            <w:r>
              <w:rPr>
                <w:rFonts w:cstheme="minorHAnsi"/>
              </w:rPr>
              <w:t xml:space="preserve">In some year groups the gaps have closed </w:t>
            </w:r>
            <w:r w:rsidR="005B1E5C">
              <w:rPr>
                <w:rFonts w:cstheme="minorHAnsi"/>
              </w:rPr>
              <w:t xml:space="preserve">in Reading, Writing and Maths.  In Reading in Y1 and Y6 PP children are now out-performing non-PP children.  </w:t>
            </w:r>
          </w:p>
        </w:tc>
        <w:tc>
          <w:tcPr>
            <w:tcW w:w="4990" w:type="dxa"/>
            <w:tcMar>
              <w:top w:w="57" w:type="dxa"/>
              <w:bottom w:w="57" w:type="dxa"/>
            </w:tcMar>
          </w:tcPr>
          <w:p w:rsidR="005B1E5C" w:rsidRPr="00683919" w:rsidRDefault="00DB54AE" w:rsidP="00DB54AE">
            <w:pPr>
              <w:rPr>
                <w:rFonts w:cstheme="minorHAnsi"/>
              </w:rPr>
            </w:pPr>
            <w:r w:rsidRPr="00683919">
              <w:rPr>
                <w:rFonts w:cstheme="minorHAnsi"/>
              </w:rPr>
              <w:t>Proved very difficult for new starters to catch up</w:t>
            </w:r>
            <w:r w:rsidR="005B1E5C">
              <w:rPr>
                <w:rFonts w:cstheme="minorHAnsi"/>
              </w:rPr>
              <w:t>. This needs to continue with specific training to take place regarding PP children.</w:t>
            </w:r>
          </w:p>
          <w:p w:rsidR="00DB54AE" w:rsidRPr="00683919" w:rsidRDefault="00DB54AE" w:rsidP="00DB54AE">
            <w:pPr>
              <w:rPr>
                <w:rFonts w:cstheme="minorHAnsi"/>
              </w:rPr>
            </w:pPr>
          </w:p>
        </w:tc>
        <w:tc>
          <w:tcPr>
            <w:tcW w:w="1530" w:type="dxa"/>
          </w:tcPr>
          <w:p w:rsidR="00DB54AE" w:rsidRPr="00683919" w:rsidRDefault="00DB54AE" w:rsidP="00DB54AE">
            <w:pPr>
              <w:ind w:left="2"/>
              <w:rPr>
                <w:rFonts w:cstheme="minorHAnsi"/>
              </w:rPr>
            </w:pPr>
            <w:r w:rsidRPr="00683919">
              <w:rPr>
                <w:rFonts w:cstheme="minorHAnsi"/>
              </w:rPr>
              <w:t xml:space="preserve">£13,000 </w:t>
            </w:r>
          </w:p>
        </w:tc>
      </w:tr>
      <w:tr w:rsidR="00DB54AE" w:rsidRPr="00683919" w:rsidTr="0092755C">
        <w:trPr>
          <w:jc w:val="center"/>
        </w:trPr>
        <w:tc>
          <w:tcPr>
            <w:tcW w:w="2235" w:type="dxa"/>
            <w:tcMar>
              <w:top w:w="57" w:type="dxa"/>
              <w:bottom w:w="57" w:type="dxa"/>
            </w:tcMar>
          </w:tcPr>
          <w:p w:rsidR="00DB54AE" w:rsidRPr="00683919" w:rsidRDefault="00DB54AE" w:rsidP="00DB54AE">
            <w:pPr>
              <w:rPr>
                <w:rFonts w:cstheme="minorHAnsi"/>
              </w:rPr>
            </w:pPr>
            <w:r w:rsidRPr="00683919">
              <w:rPr>
                <w:rFonts w:cstheme="minorHAnsi"/>
              </w:rPr>
              <w:t xml:space="preserve">To provide support for identified children to catch up their reading, writing and maths skills in order to narrow/close the gap (PPG and non-PPG pupils) </w:t>
            </w:r>
          </w:p>
        </w:tc>
        <w:tc>
          <w:tcPr>
            <w:tcW w:w="1984" w:type="dxa"/>
            <w:tcMar>
              <w:top w:w="57" w:type="dxa"/>
              <w:bottom w:w="57" w:type="dxa"/>
            </w:tcMar>
          </w:tcPr>
          <w:p w:rsidR="00DB54AE" w:rsidRPr="00683919" w:rsidRDefault="00DB54AE" w:rsidP="00DB54AE">
            <w:pPr>
              <w:pStyle w:val="ListParagraph"/>
              <w:spacing w:line="276" w:lineRule="auto"/>
              <w:ind w:left="0"/>
              <w:rPr>
                <w:rFonts w:cstheme="minorHAnsi"/>
              </w:rPr>
            </w:pPr>
            <w:r w:rsidRPr="00683919">
              <w:rPr>
                <w:rFonts w:cstheme="minorHAnsi"/>
              </w:rPr>
              <w:t>To employ a TA to deliver good quality intervention support for pupils identified in Y6.</w:t>
            </w:r>
          </w:p>
        </w:tc>
        <w:tc>
          <w:tcPr>
            <w:tcW w:w="4678" w:type="dxa"/>
            <w:tcMar>
              <w:top w:w="57" w:type="dxa"/>
              <w:bottom w:w="57" w:type="dxa"/>
            </w:tcMar>
          </w:tcPr>
          <w:p w:rsidR="00DB54AE" w:rsidRPr="00683919" w:rsidRDefault="00DB54AE" w:rsidP="005B1E5C">
            <w:pPr>
              <w:rPr>
                <w:rFonts w:cstheme="minorHAnsi"/>
              </w:rPr>
            </w:pPr>
            <w:r>
              <w:rPr>
                <w:rFonts w:cstheme="minorHAnsi"/>
              </w:rPr>
              <w:t>Gap between PP and their p</w:t>
            </w:r>
            <w:r w:rsidRPr="00683919">
              <w:rPr>
                <w:rFonts w:cstheme="minorHAnsi"/>
              </w:rPr>
              <w:t>eers</w:t>
            </w:r>
            <w:r w:rsidR="005B1E5C">
              <w:rPr>
                <w:rFonts w:cstheme="minorHAnsi"/>
              </w:rPr>
              <w:t xml:space="preserve"> has closed with PP children out-performing </w:t>
            </w:r>
            <w:r w:rsidR="00D50A48">
              <w:rPr>
                <w:rFonts w:cstheme="minorHAnsi"/>
              </w:rPr>
              <w:t xml:space="preserve">their peers in Y6 in Reading, Writing, Maths and SpaG.  </w:t>
            </w:r>
          </w:p>
        </w:tc>
        <w:tc>
          <w:tcPr>
            <w:tcW w:w="4990" w:type="dxa"/>
            <w:tcMar>
              <w:top w:w="57" w:type="dxa"/>
              <w:bottom w:w="57" w:type="dxa"/>
            </w:tcMar>
          </w:tcPr>
          <w:p w:rsidR="00DB54AE" w:rsidRPr="00683919" w:rsidRDefault="00D50A48" w:rsidP="00DB54AE">
            <w:pPr>
              <w:rPr>
                <w:rFonts w:cstheme="minorHAnsi"/>
              </w:rPr>
            </w:pPr>
            <w:r>
              <w:rPr>
                <w:rFonts w:cstheme="minorHAnsi"/>
              </w:rPr>
              <w:t>Catch up interventions planned by teacher and TA very beneficial.</w:t>
            </w:r>
          </w:p>
        </w:tc>
        <w:tc>
          <w:tcPr>
            <w:tcW w:w="1530" w:type="dxa"/>
          </w:tcPr>
          <w:p w:rsidR="00D50A48" w:rsidRDefault="00D50EE6" w:rsidP="00DB54AE">
            <w:pPr>
              <w:ind w:left="2"/>
              <w:rPr>
                <w:rFonts w:cstheme="minorHAnsi"/>
              </w:rPr>
            </w:pPr>
            <w:r>
              <w:rPr>
                <w:rFonts w:cstheme="minorHAnsi"/>
              </w:rPr>
              <w:t>£4</w:t>
            </w:r>
            <w:r w:rsidR="00D50A48">
              <w:rPr>
                <w:rFonts w:cstheme="minorHAnsi"/>
              </w:rPr>
              <w:t>000</w:t>
            </w:r>
          </w:p>
          <w:p w:rsidR="00D50A48" w:rsidRDefault="00D50A48" w:rsidP="00D50A48">
            <w:pPr>
              <w:rPr>
                <w:rFonts w:cstheme="minorHAnsi"/>
              </w:rPr>
            </w:pPr>
          </w:p>
          <w:p w:rsidR="00DB54AE" w:rsidRPr="00D50A48" w:rsidRDefault="00DB54AE" w:rsidP="00D50A48">
            <w:pPr>
              <w:jc w:val="center"/>
              <w:rPr>
                <w:rFonts w:cstheme="minorHAnsi"/>
              </w:rPr>
            </w:pPr>
          </w:p>
        </w:tc>
      </w:tr>
      <w:tr w:rsidR="00D50A48" w:rsidRPr="00683919" w:rsidTr="0092755C">
        <w:trPr>
          <w:jc w:val="center"/>
        </w:trPr>
        <w:tc>
          <w:tcPr>
            <w:tcW w:w="2235" w:type="dxa"/>
            <w:tcMar>
              <w:top w:w="57" w:type="dxa"/>
              <w:bottom w:w="57" w:type="dxa"/>
            </w:tcMar>
          </w:tcPr>
          <w:p w:rsidR="00D50A48" w:rsidRPr="00683919" w:rsidRDefault="00D50A48" w:rsidP="00D50A48">
            <w:pPr>
              <w:rPr>
                <w:rFonts w:cstheme="minorHAnsi"/>
              </w:rPr>
            </w:pPr>
            <w:r w:rsidRPr="00683919">
              <w:rPr>
                <w:rFonts w:cstheme="minorHAnsi"/>
                <w:color w:val="000000"/>
              </w:rPr>
              <w:lastRenderedPageBreak/>
              <w:t>To maintain careful tracking of all pupils and gaps between children who are PP and those who are not</w:t>
            </w:r>
          </w:p>
        </w:tc>
        <w:tc>
          <w:tcPr>
            <w:tcW w:w="1984" w:type="dxa"/>
            <w:tcMar>
              <w:top w:w="57" w:type="dxa"/>
              <w:bottom w:w="57" w:type="dxa"/>
            </w:tcMar>
          </w:tcPr>
          <w:p w:rsidR="00D50A48" w:rsidRPr="00683919" w:rsidRDefault="00D50A48" w:rsidP="00D50A48">
            <w:pPr>
              <w:pStyle w:val="ListParagraph"/>
              <w:spacing w:after="200" w:line="276" w:lineRule="auto"/>
              <w:ind w:left="0"/>
              <w:rPr>
                <w:rFonts w:cstheme="minorHAnsi"/>
              </w:rPr>
            </w:pPr>
            <w:r w:rsidRPr="00683919">
              <w:rPr>
                <w:rFonts w:cstheme="minorHAnsi"/>
              </w:rPr>
              <w:t>Regular Pupil progress meetings and termly data analysis will ensure thorough conversations taking place about needs of the children.</w:t>
            </w:r>
          </w:p>
        </w:tc>
        <w:tc>
          <w:tcPr>
            <w:tcW w:w="4678" w:type="dxa"/>
            <w:tcMar>
              <w:top w:w="57" w:type="dxa"/>
              <w:bottom w:w="57" w:type="dxa"/>
            </w:tcMar>
          </w:tcPr>
          <w:p w:rsidR="00D50A48" w:rsidRPr="00683919" w:rsidRDefault="00D50A48" w:rsidP="00D50A48">
            <w:pPr>
              <w:rPr>
                <w:rFonts w:cstheme="minorHAnsi"/>
              </w:rPr>
            </w:pPr>
            <w:r w:rsidRPr="00683919">
              <w:rPr>
                <w:rFonts w:cstheme="minorHAnsi"/>
              </w:rPr>
              <w:t>This is working as gaps are</w:t>
            </w:r>
            <w:r>
              <w:rPr>
                <w:rFonts w:cstheme="minorHAnsi"/>
              </w:rPr>
              <w:t xml:space="preserve"> being identified more quickly; </w:t>
            </w:r>
            <w:r w:rsidRPr="00683919">
              <w:rPr>
                <w:rFonts w:cstheme="minorHAnsi"/>
              </w:rPr>
              <w:t>however not always having capacity to put in staffing support.</w:t>
            </w:r>
          </w:p>
          <w:p w:rsidR="00D50A48" w:rsidRPr="00683919" w:rsidRDefault="00D50A48" w:rsidP="00D50A48">
            <w:pPr>
              <w:rPr>
                <w:rFonts w:cstheme="minorHAnsi"/>
              </w:rPr>
            </w:pPr>
          </w:p>
          <w:p w:rsidR="00D50A48" w:rsidRPr="00683919" w:rsidRDefault="00D50A48" w:rsidP="00D50A48">
            <w:pPr>
              <w:rPr>
                <w:rFonts w:cstheme="minorHAnsi"/>
              </w:rPr>
            </w:pPr>
          </w:p>
        </w:tc>
        <w:tc>
          <w:tcPr>
            <w:tcW w:w="4990" w:type="dxa"/>
            <w:tcMar>
              <w:top w:w="57" w:type="dxa"/>
              <w:bottom w:w="57" w:type="dxa"/>
            </w:tcMar>
          </w:tcPr>
          <w:p w:rsidR="00D50A48" w:rsidRPr="00683919" w:rsidRDefault="00D50A48" w:rsidP="00D50A48">
            <w:pPr>
              <w:rPr>
                <w:rFonts w:cstheme="minorHAnsi"/>
              </w:rPr>
            </w:pPr>
            <w:r w:rsidRPr="00683919">
              <w:rPr>
                <w:rFonts w:cstheme="minorHAnsi"/>
              </w:rPr>
              <w:t>We are going to continue with this approach next academic year. This will continue next year as staff know these pupils well.</w:t>
            </w:r>
            <w:r>
              <w:rPr>
                <w:rFonts w:cstheme="minorHAnsi"/>
              </w:rPr>
              <w:t xml:space="preserve"> Employed a teacher (autumn term initially) to support the children. </w:t>
            </w:r>
          </w:p>
          <w:p w:rsidR="00D50A48" w:rsidRPr="00683919" w:rsidRDefault="00D50A48" w:rsidP="00D50A48">
            <w:pPr>
              <w:rPr>
                <w:rFonts w:cstheme="minorHAnsi"/>
              </w:rPr>
            </w:pPr>
          </w:p>
        </w:tc>
        <w:tc>
          <w:tcPr>
            <w:tcW w:w="1530" w:type="dxa"/>
          </w:tcPr>
          <w:p w:rsidR="00D50A48" w:rsidRPr="00683919" w:rsidRDefault="00D50EE6" w:rsidP="00D50A48">
            <w:pPr>
              <w:rPr>
                <w:rFonts w:cstheme="minorHAnsi"/>
              </w:rPr>
            </w:pPr>
            <w:r>
              <w:rPr>
                <w:rFonts w:cstheme="minorHAnsi"/>
              </w:rPr>
              <w:t>£8000</w:t>
            </w:r>
          </w:p>
        </w:tc>
      </w:tr>
      <w:tr w:rsidR="00D50A48" w:rsidRPr="00683919" w:rsidTr="0092755C">
        <w:trPr>
          <w:jc w:val="center"/>
        </w:trPr>
        <w:tc>
          <w:tcPr>
            <w:tcW w:w="15417" w:type="dxa"/>
            <w:gridSpan w:val="5"/>
            <w:tcMar>
              <w:top w:w="57" w:type="dxa"/>
              <w:bottom w:w="57" w:type="dxa"/>
            </w:tcMar>
          </w:tcPr>
          <w:p w:rsidR="00D50A48" w:rsidRPr="00683919" w:rsidRDefault="00D50A48" w:rsidP="00D50A48">
            <w:pPr>
              <w:pStyle w:val="ListParagraph"/>
              <w:numPr>
                <w:ilvl w:val="0"/>
                <w:numId w:val="1"/>
              </w:numPr>
              <w:ind w:left="426" w:hanging="142"/>
              <w:rPr>
                <w:rFonts w:cstheme="minorHAnsi"/>
                <w:b/>
              </w:rPr>
            </w:pPr>
          </w:p>
        </w:tc>
      </w:tr>
      <w:tr w:rsidR="00D50A48" w:rsidRPr="00683919" w:rsidTr="0092755C">
        <w:trPr>
          <w:jc w:val="center"/>
        </w:trPr>
        <w:tc>
          <w:tcPr>
            <w:tcW w:w="2235" w:type="dxa"/>
            <w:tcMar>
              <w:top w:w="57" w:type="dxa"/>
              <w:bottom w:w="57" w:type="dxa"/>
            </w:tcMar>
          </w:tcPr>
          <w:p w:rsidR="00D50A48" w:rsidRPr="00683919" w:rsidRDefault="00D50A48" w:rsidP="00D50A48">
            <w:pPr>
              <w:rPr>
                <w:rFonts w:cstheme="minorHAnsi"/>
              </w:rPr>
            </w:pPr>
            <w:r w:rsidRPr="00683919">
              <w:rPr>
                <w:rFonts w:cstheme="minorHAnsi"/>
              </w:rPr>
              <w:t>To reduce pupils’ anxieties so that they feel happy, safe and ready to learn.</w:t>
            </w:r>
          </w:p>
          <w:p w:rsidR="00D50A48" w:rsidRPr="00683919" w:rsidRDefault="00D50A48" w:rsidP="00D50A48">
            <w:pPr>
              <w:rPr>
                <w:rFonts w:cstheme="minorHAnsi"/>
              </w:rPr>
            </w:pPr>
          </w:p>
          <w:p w:rsidR="00D50A48" w:rsidRPr="00683919" w:rsidRDefault="00D50A48" w:rsidP="00D50A48">
            <w:pPr>
              <w:rPr>
                <w:rFonts w:cstheme="minorHAnsi"/>
              </w:rPr>
            </w:pPr>
          </w:p>
          <w:p w:rsidR="00D50A48" w:rsidRPr="00683919" w:rsidRDefault="00D50A48" w:rsidP="00D50A48">
            <w:pPr>
              <w:rPr>
                <w:rFonts w:cstheme="minorHAnsi"/>
              </w:rPr>
            </w:pPr>
          </w:p>
          <w:p w:rsidR="00D50A48" w:rsidRPr="00683919" w:rsidRDefault="00D50A48" w:rsidP="00D50A48">
            <w:pPr>
              <w:jc w:val="center"/>
              <w:rPr>
                <w:rFonts w:cstheme="minorHAnsi"/>
              </w:rPr>
            </w:pPr>
          </w:p>
        </w:tc>
        <w:tc>
          <w:tcPr>
            <w:tcW w:w="1984" w:type="dxa"/>
            <w:tcMar>
              <w:top w:w="57" w:type="dxa"/>
              <w:bottom w:w="57" w:type="dxa"/>
            </w:tcMar>
          </w:tcPr>
          <w:p w:rsidR="00D50A48" w:rsidRPr="00617097" w:rsidRDefault="00D50A48" w:rsidP="00617097">
            <w:pPr>
              <w:tabs>
                <w:tab w:val="left" w:pos="5611"/>
              </w:tabs>
              <w:rPr>
                <w:rFonts w:cstheme="minorHAnsi"/>
              </w:rPr>
            </w:pPr>
            <w:r w:rsidRPr="00683919">
              <w:rPr>
                <w:rFonts w:cstheme="minorHAnsi"/>
              </w:rPr>
              <w:t xml:space="preserve">Use of learning mentor and ELSA trained TA to deliver support work to enable pupils to overcome barriers to learning. Provided quality planned support for identified pupils including PPG pupils to overcome SEMH barriers. </w:t>
            </w:r>
          </w:p>
        </w:tc>
        <w:tc>
          <w:tcPr>
            <w:tcW w:w="4678" w:type="dxa"/>
            <w:tcMar>
              <w:top w:w="57" w:type="dxa"/>
              <w:bottom w:w="57" w:type="dxa"/>
            </w:tcMar>
          </w:tcPr>
          <w:p w:rsidR="00D50A48" w:rsidRPr="00683919" w:rsidRDefault="00617097" w:rsidP="00D50A48">
            <w:pPr>
              <w:rPr>
                <w:rFonts w:cstheme="minorHAnsi"/>
              </w:rPr>
            </w:pPr>
            <w:r>
              <w:rPr>
                <w:rFonts w:cstheme="minorHAnsi"/>
              </w:rPr>
              <w:t>Data shows that the year groups where the Learning Mentor has worked with children, has closed the gap. Although there is still a gap, it has been minimised.</w:t>
            </w:r>
          </w:p>
        </w:tc>
        <w:tc>
          <w:tcPr>
            <w:tcW w:w="4990" w:type="dxa"/>
            <w:tcMar>
              <w:top w:w="57" w:type="dxa"/>
              <w:bottom w:w="57" w:type="dxa"/>
            </w:tcMar>
          </w:tcPr>
          <w:p w:rsidR="00D50A48" w:rsidRPr="00617097" w:rsidRDefault="00617097" w:rsidP="00D50A48">
            <w:pPr>
              <w:rPr>
                <w:rFonts w:cstheme="minorHAnsi"/>
              </w:rPr>
            </w:pPr>
            <w:r w:rsidRPr="00617097">
              <w:rPr>
                <w:rFonts w:cstheme="minorHAnsi"/>
              </w:rPr>
              <w:t>This will continue as children are more ready to learn</w:t>
            </w:r>
          </w:p>
        </w:tc>
        <w:tc>
          <w:tcPr>
            <w:tcW w:w="1530" w:type="dxa"/>
          </w:tcPr>
          <w:p w:rsidR="00D50A48" w:rsidRPr="00683919" w:rsidRDefault="00F136CD" w:rsidP="00F136CD">
            <w:pPr>
              <w:rPr>
                <w:rFonts w:cstheme="minorHAnsi"/>
                <w:b/>
              </w:rPr>
            </w:pPr>
            <w:r>
              <w:rPr>
                <w:rFonts w:cstheme="minorHAnsi"/>
                <w:b/>
              </w:rPr>
              <w:t>£7500</w:t>
            </w:r>
          </w:p>
        </w:tc>
      </w:tr>
      <w:tr w:rsidR="00D50A48" w:rsidRPr="00683919" w:rsidTr="0092755C">
        <w:trPr>
          <w:jc w:val="center"/>
        </w:trPr>
        <w:tc>
          <w:tcPr>
            <w:tcW w:w="2235" w:type="dxa"/>
            <w:tcMar>
              <w:top w:w="57" w:type="dxa"/>
              <w:bottom w:w="57" w:type="dxa"/>
            </w:tcMar>
          </w:tcPr>
          <w:p w:rsidR="00D50A48" w:rsidRPr="00683919" w:rsidRDefault="00D50A48" w:rsidP="00D50A48">
            <w:pPr>
              <w:rPr>
                <w:rFonts w:cstheme="minorHAnsi"/>
              </w:rPr>
            </w:pPr>
            <w:r w:rsidRPr="00683919">
              <w:rPr>
                <w:rFonts w:cstheme="minorHAnsi"/>
              </w:rPr>
              <w:t>Pupils to feel happy, safe and ready to learn after lunch time.</w:t>
            </w:r>
          </w:p>
          <w:p w:rsidR="00D50A48" w:rsidRPr="00683919" w:rsidRDefault="00D50A48" w:rsidP="00D50A48">
            <w:pPr>
              <w:rPr>
                <w:rFonts w:cstheme="minorHAnsi"/>
              </w:rPr>
            </w:pPr>
          </w:p>
          <w:p w:rsidR="00D50A48" w:rsidRPr="00683919" w:rsidRDefault="00D50A48" w:rsidP="00D50A48">
            <w:pPr>
              <w:rPr>
                <w:rFonts w:cstheme="minorHAnsi"/>
              </w:rPr>
            </w:pPr>
          </w:p>
          <w:p w:rsidR="00D50A48" w:rsidRPr="00683919" w:rsidRDefault="00D50A48" w:rsidP="00D50A48">
            <w:pPr>
              <w:rPr>
                <w:rFonts w:cstheme="minorHAnsi"/>
              </w:rPr>
            </w:pPr>
          </w:p>
        </w:tc>
        <w:tc>
          <w:tcPr>
            <w:tcW w:w="1984" w:type="dxa"/>
            <w:tcMar>
              <w:top w:w="57" w:type="dxa"/>
              <w:bottom w:w="57" w:type="dxa"/>
            </w:tcMar>
          </w:tcPr>
          <w:p w:rsidR="00D50A48" w:rsidRPr="00683919" w:rsidRDefault="00D50A48" w:rsidP="00D50A48">
            <w:pPr>
              <w:rPr>
                <w:rFonts w:cstheme="minorHAnsi"/>
              </w:rPr>
            </w:pPr>
            <w:r w:rsidRPr="00683919">
              <w:rPr>
                <w:rFonts w:cstheme="minorHAnsi"/>
              </w:rPr>
              <w:lastRenderedPageBreak/>
              <w:t xml:space="preserve">Employment of Learning Mentor to support all children including identified PP and other </w:t>
            </w:r>
            <w:r w:rsidRPr="00683919">
              <w:rPr>
                <w:rFonts w:cstheme="minorHAnsi"/>
              </w:rPr>
              <w:lastRenderedPageBreak/>
              <w:t>groups of pupils during lunchtime.</w:t>
            </w:r>
          </w:p>
          <w:p w:rsidR="00D50A48" w:rsidRPr="00683919" w:rsidRDefault="00D50A48" w:rsidP="00D50A48">
            <w:pPr>
              <w:rPr>
                <w:rFonts w:cstheme="minorHAnsi"/>
                <w:b/>
              </w:rPr>
            </w:pPr>
          </w:p>
        </w:tc>
        <w:tc>
          <w:tcPr>
            <w:tcW w:w="4678" w:type="dxa"/>
            <w:tcMar>
              <w:top w:w="57" w:type="dxa"/>
              <w:bottom w:w="57" w:type="dxa"/>
            </w:tcMar>
          </w:tcPr>
          <w:p w:rsidR="00617097" w:rsidRDefault="00617097" w:rsidP="00D50A48">
            <w:pPr>
              <w:rPr>
                <w:rFonts w:cstheme="minorHAnsi"/>
              </w:rPr>
            </w:pPr>
            <w:r>
              <w:rPr>
                <w:rFonts w:cstheme="minorHAnsi"/>
              </w:rPr>
              <w:lastRenderedPageBreak/>
              <w:t>Number of incidents at lunch time have decreased and therefore learning in the afternoon has been able to happen much quicker than in previous years.</w:t>
            </w:r>
          </w:p>
          <w:p w:rsidR="00617097" w:rsidRDefault="00617097" w:rsidP="00617097">
            <w:pPr>
              <w:rPr>
                <w:rFonts w:cstheme="minorHAnsi"/>
              </w:rPr>
            </w:pPr>
          </w:p>
          <w:p w:rsidR="00D50A48" w:rsidRPr="00617097" w:rsidRDefault="00617097" w:rsidP="00617097">
            <w:pPr>
              <w:tabs>
                <w:tab w:val="left" w:pos="1590"/>
              </w:tabs>
              <w:rPr>
                <w:rFonts w:cstheme="minorHAnsi"/>
              </w:rPr>
            </w:pPr>
            <w:r>
              <w:rPr>
                <w:rFonts w:cstheme="minorHAnsi"/>
              </w:rPr>
              <w:lastRenderedPageBreak/>
              <w:tab/>
            </w:r>
          </w:p>
        </w:tc>
        <w:tc>
          <w:tcPr>
            <w:tcW w:w="4990" w:type="dxa"/>
            <w:tcMar>
              <w:top w:w="57" w:type="dxa"/>
              <w:bottom w:w="57" w:type="dxa"/>
            </w:tcMar>
          </w:tcPr>
          <w:p w:rsidR="00D50A48" w:rsidRPr="00683919" w:rsidRDefault="00617097" w:rsidP="00D50A48">
            <w:pPr>
              <w:rPr>
                <w:rFonts w:cstheme="minorHAnsi"/>
              </w:rPr>
            </w:pPr>
            <w:r>
              <w:rPr>
                <w:rFonts w:cstheme="minorHAnsi"/>
              </w:rPr>
              <w:lastRenderedPageBreak/>
              <w:t>This will continue to support the children’s emotional well-being so learning is disrupted as little as possible.</w:t>
            </w:r>
          </w:p>
        </w:tc>
        <w:tc>
          <w:tcPr>
            <w:tcW w:w="1530" w:type="dxa"/>
          </w:tcPr>
          <w:p w:rsidR="00D50A48" w:rsidRPr="00683919" w:rsidRDefault="00F136CD" w:rsidP="00D50A48">
            <w:pPr>
              <w:rPr>
                <w:rFonts w:cstheme="minorHAnsi"/>
              </w:rPr>
            </w:pPr>
            <w:r>
              <w:rPr>
                <w:rFonts w:cstheme="minorHAnsi"/>
              </w:rPr>
              <w:t>£7000</w:t>
            </w:r>
          </w:p>
        </w:tc>
      </w:tr>
      <w:tr w:rsidR="00617097" w:rsidRPr="00683919" w:rsidTr="0092755C">
        <w:trPr>
          <w:trHeight w:val="3524"/>
          <w:jc w:val="center"/>
        </w:trPr>
        <w:tc>
          <w:tcPr>
            <w:tcW w:w="2235" w:type="dxa"/>
            <w:tcMar>
              <w:top w:w="57" w:type="dxa"/>
              <w:bottom w:w="57" w:type="dxa"/>
            </w:tcMar>
          </w:tcPr>
          <w:p w:rsidR="00617097" w:rsidRPr="00683919" w:rsidRDefault="00617097" w:rsidP="00617097">
            <w:pPr>
              <w:rPr>
                <w:rFonts w:cstheme="minorHAnsi"/>
              </w:rPr>
            </w:pPr>
            <w:r w:rsidRPr="00683919">
              <w:rPr>
                <w:rFonts w:cstheme="minorHAnsi"/>
              </w:rPr>
              <w:lastRenderedPageBreak/>
              <w:t xml:space="preserve">To ensure all Y6 pupils have access to SATs appropriate revision at home </w:t>
            </w:r>
          </w:p>
        </w:tc>
        <w:tc>
          <w:tcPr>
            <w:tcW w:w="1984" w:type="dxa"/>
            <w:tcMar>
              <w:top w:w="57" w:type="dxa"/>
              <w:bottom w:w="57" w:type="dxa"/>
            </w:tcMar>
          </w:tcPr>
          <w:p w:rsidR="00617097" w:rsidRPr="00683919" w:rsidRDefault="00617097" w:rsidP="00617097">
            <w:pPr>
              <w:rPr>
                <w:rFonts w:cstheme="minorHAnsi"/>
              </w:rPr>
            </w:pPr>
            <w:r w:rsidRPr="00683919">
              <w:rPr>
                <w:rFonts w:cstheme="minorHAnsi"/>
              </w:rPr>
              <w:t>All pupils in Y6 to be provided with revision SATs books and work books at the beginning of the year</w:t>
            </w:r>
          </w:p>
        </w:tc>
        <w:tc>
          <w:tcPr>
            <w:tcW w:w="4678" w:type="dxa"/>
            <w:tcMar>
              <w:top w:w="57" w:type="dxa"/>
              <w:bottom w:w="57" w:type="dxa"/>
            </w:tcMar>
          </w:tcPr>
          <w:p w:rsidR="00617097" w:rsidRPr="00683919" w:rsidRDefault="00617097" w:rsidP="00617097">
            <w:pPr>
              <w:rPr>
                <w:rFonts w:cstheme="minorHAnsi"/>
              </w:rPr>
            </w:pPr>
            <w:r w:rsidRPr="00683919">
              <w:rPr>
                <w:rFonts w:cstheme="minorHAnsi"/>
              </w:rPr>
              <w:t>Pupils liked using the books and school able to more accurately target provision based on needs of children.</w:t>
            </w:r>
          </w:p>
        </w:tc>
        <w:tc>
          <w:tcPr>
            <w:tcW w:w="4990" w:type="dxa"/>
            <w:tcMar>
              <w:top w:w="57" w:type="dxa"/>
              <w:bottom w:w="57" w:type="dxa"/>
            </w:tcMar>
          </w:tcPr>
          <w:p w:rsidR="00617097" w:rsidRPr="00683919" w:rsidRDefault="00617097" w:rsidP="00617097">
            <w:pPr>
              <w:rPr>
                <w:rFonts w:cstheme="minorHAnsi"/>
              </w:rPr>
            </w:pPr>
            <w:r w:rsidRPr="00683919">
              <w:rPr>
                <w:rFonts w:cstheme="minorHAnsi"/>
              </w:rPr>
              <w:t>Purchase for all Y6 pupils and provide free not just for PP children next year</w:t>
            </w:r>
          </w:p>
        </w:tc>
        <w:tc>
          <w:tcPr>
            <w:tcW w:w="1530" w:type="dxa"/>
          </w:tcPr>
          <w:p w:rsidR="00617097" w:rsidRPr="00683919" w:rsidRDefault="00F136CD" w:rsidP="00617097">
            <w:pPr>
              <w:rPr>
                <w:rFonts w:cstheme="minorHAnsi"/>
              </w:rPr>
            </w:pPr>
            <w:r>
              <w:rPr>
                <w:rFonts w:cstheme="minorHAnsi"/>
              </w:rPr>
              <w:t>£400</w:t>
            </w:r>
          </w:p>
        </w:tc>
      </w:tr>
      <w:tr w:rsidR="00617097" w:rsidRPr="00683919" w:rsidTr="0092755C">
        <w:trPr>
          <w:jc w:val="center"/>
        </w:trPr>
        <w:tc>
          <w:tcPr>
            <w:tcW w:w="2235" w:type="dxa"/>
            <w:tcMar>
              <w:top w:w="57" w:type="dxa"/>
              <w:bottom w:w="57" w:type="dxa"/>
            </w:tcMar>
          </w:tcPr>
          <w:p w:rsidR="00617097" w:rsidRPr="00683919" w:rsidRDefault="00617097" w:rsidP="00617097">
            <w:pPr>
              <w:rPr>
                <w:rFonts w:cstheme="minorHAnsi"/>
              </w:rPr>
            </w:pPr>
            <w:r w:rsidRPr="00683919">
              <w:rPr>
                <w:rFonts w:cstheme="minorHAnsi"/>
              </w:rPr>
              <w:t xml:space="preserve">More careful tracking of all pupils and gaps between children who are PP and those who are not </w:t>
            </w:r>
          </w:p>
        </w:tc>
        <w:tc>
          <w:tcPr>
            <w:tcW w:w="1984" w:type="dxa"/>
            <w:tcMar>
              <w:top w:w="57" w:type="dxa"/>
              <w:bottom w:w="57" w:type="dxa"/>
            </w:tcMar>
          </w:tcPr>
          <w:p w:rsidR="00617097" w:rsidRPr="00683919" w:rsidRDefault="00617097" w:rsidP="00617097">
            <w:pPr>
              <w:rPr>
                <w:rFonts w:cstheme="minorHAnsi"/>
              </w:rPr>
            </w:pPr>
            <w:r w:rsidRPr="00683919">
              <w:rPr>
                <w:rFonts w:cstheme="minorHAnsi"/>
              </w:rPr>
              <w:t>Tracking through</w:t>
            </w:r>
            <w:r>
              <w:rPr>
                <w:rFonts w:cstheme="minorHAnsi"/>
              </w:rPr>
              <w:t xml:space="preserve"> Pup</w:t>
            </w:r>
            <w:r w:rsidRPr="00683919">
              <w:rPr>
                <w:rFonts w:cstheme="minorHAnsi"/>
              </w:rPr>
              <w:t xml:space="preserve">il progress meetings. </w:t>
            </w:r>
          </w:p>
        </w:tc>
        <w:tc>
          <w:tcPr>
            <w:tcW w:w="4678" w:type="dxa"/>
            <w:tcMar>
              <w:top w:w="57" w:type="dxa"/>
              <w:bottom w:w="57" w:type="dxa"/>
            </w:tcMar>
          </w:tcPr>
          <w:p w:rsidR="00617097" w:rsidRPr="00683919" w:rsidRDefault="00617097" w:rsidP="00617097">
            <w:pPr>
              <w:rPr>
                <w:rFonts w:cstheme="minorHAnsi"/>
              </w:rPr>
            </w:pPr>
            <w:r>
              <w:rPr>
                <w:rFonts w:cstheme="minorHAnsi"/>
              </w:rPr>
              <w:t>This has been difficult due to COVID but tracking of different groups of children occurred at the end of last year and will continue next year.</w:t>
            </w:r>
          </w:p>
        </w:tc>
        <w:tc>
          <w:tcPr>
            <w:tcW w:w="4990" w:type="dxa"/>
            <w:tcMar>
              <w:top w:w="57" w:type="dxa"/>
              <w:bottom w:w="57" w:type="dxa"/>
            </w:tcMar>
          </w:tcPr>
          <w:p w:rsidR="00617097" w:rsidRPr="00683919" w:rsidRDefault="00617097" w:rsidP="00617097">
            <w:pPr>
              <w:ind w:right="8"/>
              <w:rPr>
                <w:rFonts w:cstheme="minorHAnsi"/>
              </w:rPr>
            </w:pPr>
          </w:p>
        </w:tc>
        <w:tc>
          <w:tcPr>
            <w:tcW w:w="1530" w:type="dxa"/>
          </w:tcPr>
          <w:p w:rsidR="00617097" w:rsidRPr="00683919" w:rsidRDefault="00F136CD" w:rsidP="00617097">
            <w:pPr>
              <w:ind w:right="36"/>
              <w:rPr>
                <w:rFonts w:cstheme="minorHAnsi"/>
              </w:rPr>
            </w:pPr>
            <w:r>
              <w:rPr>
                <w:rFonts w:cstheme="minorHAnsi"/>
              </w:rPr>
              <w:t>£1000</w:t>
            </w:r>
          </w:p>
        </w:tc>
      </w:tr>
      <w:tr w:rsidR="00617097" w:rsidRPr="00683919" w:rsidTr="0092755C">
        <w:trPr>
          <w:jc w:val="center"/>
        </w:trPr>
        <w:tc>
          <w:tcPr>
            <w:tcW w:w="2235" w:type="dxa"/>
            <w:tcMar>
              <w:top w:w="57" w:type="dxa"/>
              <w:bottom w:w="57" w:type="dxa"/>
            </w:tcMar>
          </w:tcPr>
          <w:p w:rsidR="00617097" w:rsidRPr="00683919" w:rsidRDefault="00617097" w:rsidP="00617097">
            <w:pPr>
              <w:rPr>
                <w:rFonts w:cstheme="minorHAnsi"/>
              </w:rPr>
            </w:pPr>
            <w:r>
              <w:br w:type="page"/>
            </w:r>
            <w:r w:rsidRPr="00683919">
              <w:rPr>
                <w:rFonts w:cstheme="minorHAnsi"/>
              </w:rPr>
              <w:t xml:space="preserve">Identified pupils access good quality mental health support. Significant impact on targeted pupils mental health and well-being noted </w:t>
            </w:r>
          </w:p>
        </w:tc>
        <w:tc>
          <w:tcPr>
            <w:tcW w:w="1984" w:type="dxa"/>
            <w:tcMar>
              <w:top w:w="57" w:type="dxa"/>
              <w:bottom w:w="57" w:type="dxa"/>
            </w:tcMar>
          </w:tcPr>
          <w:p w:rsidR="00617097" w:rsidRPr="00683919" w:rsidRDefault="00617097" w:rsidP="00617097">
            <w:pPr>
              <w:ind w:left="2"/>
              <w:rPr>
                <w:rFonts w:cstheme="minorHAnsi"/>
              </w:rPr>
            </w:pPr>
            <w:r w:rsidRPr="00683919">
              <w:rPr>
                <w:rFonts w:cstheme="minorHAnsi"/>
              </w:rPr>
              <w:t xml:space="preserve">ELSA (Emotional </w:t>
            </w:r>
          </w:p>
          <w:p w:rsidR="00617097" w:rsidRPr="00683919" w:rsidRDefault="00617097" w:rsidP="00617097">
            <w:pPr>
              <w:rPr>
                <w:rFonts w:cstheme="minorHAnsi"/>
              </w:rPr>
            </w:pPr>
            <w:r w:rsidRPr="00683919">
              <w:rPr>
                <w:rFonts w:cstheme="minorHAnsi"/>
              </w:rPr>
              <w:t xml:space="preserve">Literacy Support Assistant) support for identified PP children through Learning Mentor sessions each week.  </w:t>
            </w:r>
          </w:p>
        </w:tc>
        <w:tc>
          <w:tcPr>
            <w:tcW w:w="4678" w:type="dxa"/>
            <w:tcMar>
              <w:top w:w="57" w:type="dxa"/>
              <w:bottom w:w="57" w:type="dxa"/>
            </w:tcMar>
          </w:tcPr>
          <w:p w:rsidR="00617097" w:rsidRPr="00683919" w:rsidRDefault="00146CB5" w:rsidP="00617097">
            <w:pPr>
              <w:rPr>
                <w:rFonts w:cstheme="minorHAnsi"/>
              </w:rPr>
            </w:pPr>
            <w:r>
              <w:rPr>
                <w:rFonts w:cstheme="minorHAnsi"/>
              </w:rPr>
              <w:t>Less behavioural issues noted across school but the sessions were unfortunately not consistent as cover was needed.</w:t>
            </w:r>
          </w:p>
        </w:tc>
        <w:tc>
          <w:tcPr>
            <w:tcW w:w="4990" w:type="dxa"/>
            <w:tcMar>
              <w:top w:w="57" w:type="dxa"/>
              <w:bottom w:w="57" w:type="dxa"/>
            </w:tcMar>
          </w:tcPr>
          <w:p w:rsidR="00617097" w:rsidRPr="00683919" w:rsidRDefault="00146CB5" w:rsidP="00617097">
            <w:pPr>
              <w:rPr>
                <w:rFonts w:cstheme="minorHAnsi"/>
              </w:rPr>
            </w:pPr>
            <w:r>
              <w:rPr>
                <w:rFonts w:cstheme="minorHAnsi"/>
              </w:rPr>
              <w:t>Ensure sessions do not get disrupted due to staffing.</w:t>
            </w:r>
          </w:p>
        </w:tc>
        <w:tc>
          <w:tcPr>
            <w:tcW w:w="1530" w:type="dxa"/>
          </w:tcPr>
          <w:p w:rsidR="00617097" w:rsidRPr="00683919" w:rsidRDefault="00F136CD" w:rsidP="00617097">
            <w:pPr>
              <w:rPr>
                <w:rFonts w:cstheme="minorHAnsi"/>
              </w:rPr>
            </w:pPr>
            <w:r>
              <w:rPr>
                <w:rFonts w:cstheme="minorHAnsi"/>
              </w:rPr>
              <w:t>£2000</w:t>
            </w:r>
          </w:p>
        </w:tc>
      </w:tr>
      <w:tr w:rsidR="00617097" w:rsidRPr="00683919" w:rsidTr="0092755C">
        <w:trPr>
          <w:jc w:val="center"/>
        </w:trPr>
        <w:tc>
          <w:tcPr>
            <w:tcW w:w="15417" w:type="dxa"/>
            <w:gridSpan w:val="5"/>
            <w:tcMar>
              <w:top w:w="57" w:type="dxa"/>
              <w:bottom w:w="57" w:type="dxa"/>
            </w:tcMar>
          </w:tcPr>
          <w:p w:rsidR="00617097" w:rsidRPr="00683919" w:rsidRDefault="00617097" w:rsidP="00617097">
            <w:pPr>
              <w:pStyle w:val="ListParagraph"/>
              <w:numPr>
                <w:ilvl w:val="0"/>
                <w:numId w:val="1"/>
              </w:numPr>
              <w:ind w:left="426" w:hanging="142"/>
              <w:rPr>
                <w:rFonts w:cstheme="minorHAnsi"/>
                <w:b/>
              </w:rPr>
            </w:pPr>
          </w:p>
        </w:tc>
      </w:tr>
      <w:tr w:rsidR="00146CB5" w:rsidRPr="00683919" w:rsidTr="0092755C">
        <w:trPr>
          <w:jc w:val="center"/>
        </w:trPr>
        <w:tc>
          <w:tcPr>
            <w:tcW w:w="2235" w:type="dxa"/>
            <w:tcMar>
              <w:top w:w="57" w:type="dxa"/>
              <w:bottom w:w="57" w:type="dxa"/>
            </w:tcMar>
          </w:tcPr>
          <w:p w:rsidR="00146CB5" w:rsidRPr="00683919" w:rsidRDefault="00146CB5" w:rsidP="00146CB5">
            <w:pPr>
              <w:rPr>
                <w:rFonts w:cstheme="minorHAnsi"/>
              </w:rPr>
            </w:pPr>
            <w:r w:rsidRPr="00683919">
              <w:rPr>
                <w:rFonts w:cstheme="minorHAnsi"/>
              </w:rPr>
              <w:lastRenderedPageBreak/>
              <w:t>To ensure that children eligible for PPG are able to take part in the wider school provision.</w:t>
            </w:r>
          </w:p>
        </w:tc>
        <w:tc>
          <w:tcPr>
            <w:tcW w:w="1984" w:type="dxa"/>
            <w:tcMar>
              <w:top w:w="57" w:type="dxa"/>
              <w:bottom w:w="57" w:type="dxa"/>
            </w:tcMar>
          </w:tcPr>
          <w:p w:rsidR="00146CB5" w:rsidRPr="00683919" w:rsidRDefault="00146CB5" w:rsidP="00146CB5">
            <w:pPr>
              <w:rPr>
                <w:rFonts w:cstheme="minorHAnsi"/>
              </w:rPr>
            </w:pPr>
            <w:r w:rsidRPr="00683919">
              <w:rPr>
                <w:rFonts w:cstheme="minorHAnsi"/>
              </w:rPr>
              <w:t>Allocation of funds will be absorbed into the main budget to enable specific children and families within the Disadvantaged cohort to access the following;</w:t>
            </w:r>
          </w:p>
          <w:p w:rsidR="00146CB5" w:rsidRPr="00683919" w:rsidRDefault="00146CB5" w:rsidP="00146CB5">
            <w:pPr>
              <w:rPr>
                <w:rFonts w:cstheme="minorHAnsi"/>
              </w:rPr>
            </w:pPr>
            <w:r w:rsidRPr="00683919">
              <w:rPr>
                <w:rFonts w:cstheme="minorHAnsi"/>
              </w:rPr>
              <w:t>Breakfast Club</w:t>
            </w:r>
          </w:p>
          <w:p w:rsidR="00146CB5" w:rsidRPr="00683919" w:rsidRDefault="00146CB5" w:rsidP="00146CB5">
            <w:pPr>
              <w:rPr>
                <w:rFonts w:cstheme="minorHAnsi"/>
              </w:rPr>
            </w:pPr>
            <w:r w:rsidRPr="00683919">
              <w:rPr>
                <w:rFonts w:cstheme="minorHAnsi"/>
              </w:rPr>
              <w:t>Educational Visit</w:t>
            </w:r>
          </w:p>
          <w:p w:rsidR="00146CB5" w:rsidRPr="00683919" w:rsidRDefault="00146CB5" w:rsidP="00146CB5">
            <w:pPr>
              <w:rPr>
                <w:rFonts w:cstheme="minorHAnsi"/>
              </w:rPr>
            </w:pPr>
            <w:r w:rsidRPr="00683919">
              <w:rPr>
                <w:rFonts w:cstheme="minorHAnsi"/>
              </w:rPr>
              <w:t xml:space="preserve">After School Sports Club </w:t>
            </w:r>
          </w:p>
        </w:tc>
        <w:tc>
          <w:tcPr>
            <w:tcW w:w="4678" w:type="dxa"/>
            <w:tcMar>
              <w:top w:w="57" w:type="dxa"/>
              <w:bottom w:w="57" w:type="dxa"/>
            </w:tcMar>
          </w:tcPr>
          <w:p w:rsidR="00146CB5" w:rsidRPr="00683919" w:rsidRDefault="00146CB5" w:rsidP="00146CB5">
            <w:pPr>
              <w:ind w:left="2"/>
              <w:rPr>
                <w:rFonts w:cstheme="minorHAnsi"/>
              </w:rPr>
            </w:pPr>
            <w:r w:rsidRPr="00683919">
              <w:rPr>
                <w:rFonts w:cstheme="minorHAnsi"/>
              </w:rPr>
              <w:t xml:space="preserve">Ensuring PP children are in school and punctual </w:t>
            </w:r>
          </w:p>
          <w:p w:rsidR="00146CB5" w:rsidRPr="00683919" w:rsidRDefault="00146CB5" w:rsidP="00146CB5">
            <w:pPr>
              <w:spacing w:line="239" w:lineRule="auto"/>
              <w:ind w:left="2"/>
              <w:rPr>
                <w:rFonts w:cstheme="minorHAnsi"/>
              </w:rPr>
            </w:pPr>
            <w:r w:rsidRPr="00683919">
              <w:rPr>
                <w:rFonts w:cstheme="minorHAnsi"/>
              </w:rPr>
              <w:t xml:space="preserve">Ensuring children have a breakfast and opportunity for ‘downtime’ before the school day.  </w:t>
            </w:r>
          </w:p>
          <w:p w:rsidR="00146CB5" w:rsidRPr="00683919" w:rsidRDefault="00146CB5" w:rsidP="00146CB5">
            <w:pPr>
              <w:rPr>
                <w:rFonts w:cstheme="minorHAnsi"/>
              </w:rPr>
            </w:pPr>
            <w:r w:rsidRPr="00683919">
              <w:rPr>
                <w:rFonts w:cstheme="minorHAnsi"/>
              </w:rPr>
              <w:t>Allowing staff to engage with and build relationships with pupils outside of the classroom, which reduces anxieties and means the pupils are ready to learn.</w:t>
            </w:r>
          </w:p>
          <w:p w:rsidR="00146CB5" w:rsidRPr="00683919" w:rsidRDefault="00146CB5" w:rsidP="00146CB5">
            <w:pPr>
              <w:rPr>
                <w:rFonts w:cstheme="minorHAnsi"/>
              </w:rPr>
            </w:pPr>
          </w:p>
          <w:p w:rsidR="00146CB5" w:rsidRDefault="00146CB5" w:rsidP="00146CB5">
            <w:pPr>
              <w:rPr>
                <w:rFonts w:cstheme="minorHAnsi"/>
              </w:rPr>
            </w:pPr>
            <w:r>
              <w:rPr>
                <w:rFonts w:cstheme="minorHAnsi"/>
              </w:rPr>
              <w:t>Approx 6</w:t>
            </w:r>
            <w:r w:rsidRPr="00683919">
              <w:rPr>
                <w:rFonts w:cstheme="minorHAnsi"/>
              </w:rPr>
              <w:t xml:space="preserve"> PP children attend each day</w:t>
            </w:r>
            <w:r w:rsidR="00A9204C">
              <w:rPr>
                <w:rFonts w:cstheme="minorHAnsi"/>
              </w:rPr>
              <w:t>.</w:t>
            </w:r>
          </w:p>
          <w:p w:rsidR="00146CB5" w:rsidRDefault="00146CB5" w:rsidP="00146CB5">
            <w:pPr>
              <w:rPr>
                <w:rFonts w:cstheme="minorHAnsi"/>
              </w:rPr>
            </w:pPr>
          </w:p>
          <w:p w:rsidR="00146CB5" w:rsidRPr="00683919" w:rsidRDefault="00146CB5" w:rsidP="00146CB5">
            <w:pPr>
              <w:rPr>
                <w:rFonts w:cstheme="minorHAnsi"/>
              </w:rPr>
            </w:pPr>
            <w:r w:rsidRPr="00683919">
              <w:rPr>
                <w:rFonts w:cstheme="minorHAnsi"/>
              </w:rPr>
              <w:t>Cost of trips is a barrier in allowing our PP children to attend trips and experience opportunities in which they will build friendships, team build etc. More PP children are attending trips but school not getting 90% of payment.</w:t>
            </w:r>
          </w:p>
        </w:tc>
        <w:tc>
          <w:tcPr>
            <w:tcW w:w="4990" w:type="dxa"/>
            <w:tcMar>
              <w:top w:w="57" w:type="dxa"/>
              <w:bottom w:w="57" w:type="dxa"/>
            </w:tcMar>
          </w:tcPr>
          <w:p w:rsidR="00146CB5" w:rsidRDefault="00146CB5" w:rsidP="00146CB5">
            <w:pPr>
              <w:rPr>
                <w:rFonts w:cstheme="minorHAnsi"/>
              </w:rPr>
            </w:pPr>
            <w:r w:rsidRPr="00683919">
              <w:rPr>
                <w:rFonts w:cstheme="minorHAnsi"/>
              </w:rPr>
              <w:t>Positive relationships established able to identify punctuality issues and home issues, ensuring children are eating breakfast. Continue next year</w:t>
            </w:r>
          </w:p>
          <w:p w:rsidR="00146CB5" w:rsidRDefault="00146CB5" w:rsidP="00146CB5">
            <w:pPr>
              <w:rPr>
                <w:rFonts w:cstheme="minorHAnsi"/>
              </w:rPr>
            </w:pPr>
          </w:p>
          <w:p w:rsidR="00146CB5" w:rsidRDefault="00146CB5" w:rsidP="00146CB5">
            <w:pPr>
              <w:rPr>
                <w:rFonts w:cstheme="minorHAnsi"/>
              </w:rPr>
            </w:pPr>
          </w:p>
          <w:p w:rsidR="00146CB5" w:rsidRDefault="00146CB5" w:rsidP="00146CB5">
            <w:pPr>
              <w:rPr>
                <w:rFonts w:cstheme="minorHAnsi"/>
              </w:rPr>
            </w:pPr>
          </w:p>
          <w:p w:rsidR="00146CB5" w:rsidRDefault="00146CB5" w:rsidP="00146CB5">
            <w:pPr>
              <w:rPr>
                <w:rFonts w:cstheme="minorHAnsi"/>
              </w:rPr>
            </w:pPr>
          </w:p>
          <w:p w:rsidR="00146CB5" w:rsidRDefault="00146CB5" w:rsidP="00146CB5">
            <w:pPr>
              <w:rPr>
                <w:rFonts w:cstheme="minorHAnsi"/>
              </w:rPr>
            </w:pPr>
          </w:p>
          <w:p w:rsidR="00146CB5" w:rsidRDefault="00146CB5" w:rsidP="00146CB5">
            <w:pPr>
              <w:rPr>
                <w:rFonts w:cstheme="minorHAnsi"/>
              </w:rPr>
            </w:pPr>
          </w:p>
          <w:p w:rsidR="00146CB5" w:rsidRDefault="00146CB5" w:rsidP="00146CB5">
            <w:pPr>
              <w:rPr>
                <w:rFonts w:cstheme="minorHAnsi"/>
              </w:rPr>
            </w:pPr>
          </w:p>
          <w:p w:rsidR="00146CB5" w:rsidRDefault="00146CB5" w:rsidP="00146CB5">
            <w:pPr>
              <w:rPr>
                <w:rFonts w:cstheme="minorHAnsi"/>
              </w:rPr>
            </w:pPr>
          </w:p>
          <w:p w:rsidR="00146CB5" w:rsidRPr="00683919" w:rsidRDefault="00146CB5" w:rsidP="00BF7B40">
            <w:pPr>
              <w:rPr>
                <w:rFonts w:cstheme="minorHAnsi"/>
              </w:rPr>
            </w:pPr>
            <w:r w:rsidRPr="00683919">
              <w:rPr>
                <w:rFonts w:cstheme="minorHAnsi"/>
              </w:rPr>
              <w:t xml:space="preserve">This has continued to be a barrier for some parents. </w:t>
            </w:r>
          </w:p>
        </w:tc>
        <w:tc>
          <w:tcPr>
            <w:tcW w:w="1530" w:type="dxa"/>
          </w:tcPr>
          <w:p w:rsidR="00146CB5" w:rsidRPr="00F136CD" w:rsidRDefault="00F136CD" w:rsidP="00146CB5">
            <w:pPr>
              <w:rPr>
                <w:rFonts w:cstheme="minorHAnsi"/>
              </w:rPr>
            </w:pPr>
            <w:r>
              <w:rPr>
                <w:rFonts w:cstheme="minorHAnsi"/>
              </w:rPr>
              <w:t>£3500</w:t>
            </w:r>
          </w:p>
        </w:tc>
      </w:tr>
      <w:tr w:rsidR="00F136CD" w:rsidRPr="00683919" w:rsidTr="0092755C">
        <w:trPr>
          <w:jc w:val="center"/>
        </w:trPr>
        <w:tc>
          <w:tcPr>
            <w:tcW w:w="2235" w:type="dxa"/>
            <w:tcMar>
              <w:top w:w="57" w:type="dxa"/>
              <w:bottom w:w="57" w:type="dxa"/>
            </w:tcMar>
          </w:tcPr>
          <w:p w:rsidR="00F136CD" w:rsidRPr="00EA08E9" w:rsidRDefault="00F136CD" w:rsidP="00F136CD">
            <w:pPr>
              <w:rPr>
                <w:rFonts w:cstheme="minorHAnsi"/>
              </w:rPr>
            </w:pPr>
            <w:r w:rsidRPr="00EA08E9">
              <w:rPr>
                <w:rFonts w:cs="Arial"/>
              </w:rPr>
              <w:t xml:space="preserve">Pupil premium children to experience a range of opportunities and have the key equipment they require that could be difficult for families to fund.  </w:t>
            </w:r>
          </w:p>
        </w:tc>
        <w:tc>
          <w:tcPr>
            <w:tcW w:w="1984" w:type="dxa"/>
            <w:tcMar>
              <w:top w:w="57" w:type="dxa"/>
              <w:bottom w:w="57" w:type="dxa"/>
            </w:tcMar>
          </w:tcPr>
          <w:p w:rsidR="00F136CD" w:rsidRPr="00EA08E9" w:rsidRDefault="00F136CD" w:rsidP="00F136CD">
            <w:pPr>
              <w:rPr>
                <w:rFonts w:cs="Arial"/>
              </w:rPr>
            </w:pPr>
            <w:r w:rsidRPr="00EA08E9">
              <w:rPr>
                <w:rFonts w:cs="Arial"/>
              </w:rPr>
              <w:t xml:space="preserve">Pupils to gain additional skills in non-academic area of school  </w:t>
            </w:r>
          </w:p>
          <w:p w:rsidR="00F136CD" w:rsidRPr="00EA08E9" w:rsidRDefault="00F136CD" w:rsidP="00F136CD">
            <w:pPr>
              <w:rPr>
                <w:rFonts w:cs="Arial"/>
              </w:rPr>
            </w:pPr>
          </w:p>
          <w:p w:rsidR="00F136CD" w:rsidRPr="00EA08E9" w:rsidRDefault="00F136CD" w:rsidP="00F136CD">
            <w:pPr>
              <w:rPr>
                <w:rFonts w:cstheme="minorHAnsi"/>
                <w:b/>
              </w:rPr>
            </w:pPr>
            <w:r w:rsidRPr="00EA08E9">
              <w:rPr>
                <w:rFonts w:cs="Arial"/>
              </w:rPr>
              <w:t xml:space="preserve">Full music lesson subsidy offered for all PP children </w:t>
            </w:r>
          </w:p>
        </w:tc>
        <w:tc>
          <w:tcPr>
            <w:tcW w:w="4678" w:type="dxa"/>
            <w:tcMar>
              <w:top w:w="57" w:type="dxa"/>
              <w:bottom w:w="57" w:type="dxa"/>
            </w:tcMar>
          </w:tcPr>
          <w:p w:rsidR="00F136CD" w:rsidRPr="00683919" w:rsidRDefault="00A9204C" w:rsidP="00F136CD">
            <w:pPr>
              <w:rPr>
                <w:rFonts w:cstheme="minorHAnsi"/>
              </w:rPr>
            </w:pPr>
            <w:r>
              <w:rPr>
                <w:rFonts w:cstheme="minorHAnsi"/>
              </w:rPr>
              <w:t>5 PP children are currently receiving music lessons.</w:t>
            </w:r>
          </w:p>
        </w:tc>
        <w:tc>
          <w:tcPr>
            <w:tcW w:w="4990" w:type="dxa"/>
            <w:tcMar>
              <w:top w:w="57" w:type="dxa"/>
              <w:bottom w:w="57" w:type="dxa"/>
            </w:tcMar>
          </w:tcPr>
          <w:p w:rsidR="00F136CD" w:rsidRPr="00683919" w:rsidRDefault="00C73C71" w:rsidP="00F136CD">
            <w:pPr>
              <w:rPr>
                <w:rFonts w:cstheme="minorHAnsi"/>
              </w:rPr>
            </w:pPr>
            <w:r>
              <w:rPr>
                <w:rFonts w:cstheme="minorHAnsi"/>
              </w:rPr>
              <w:t xml:space="preserve">After speaking with children, they are really excited about learning their new instrument.  And although this isn’t taken up by all PP students, school are having positive feedback from those who are. </w:t>
            </w:r>
            <w:bookmarkStart w:id="0" w:name="_GoBack"/>
            <w:bookmarkEnd w:id="0"/>
          </w:p>
        </w:tc>
        <w:tc>
          <w:tcPr>
            <w:tcW w:w="1530" w:type="dxa"/>
          </w:tcPr>
          <w:p w:rsidR="00F136CD" w:rsidRPr="00F136CD" w:rsidRDefault="00F136CD" w:rsidP="00F136CD">
            <w:pPr>
              <w:rPr>
                <w:rFonts w:cstheme="minorHAnsi"/>
              </w:rPr>
            </w:pPr>
            <w:r>
              <w:rPr>
                <w:rFonts w:cstheme="minorHAnsi"/>
              </w:rPr>
              <w:t>£3000</w:t>
            </w:r>
          </w:p>
        </w:tc>
      </w:tr>
      <w:tr w:rsidR="00F136CD" w:rsidRPr="00683919" w:rsidTr="0066039A">
        <w:trPr>
          <w:jc w:val="center"/>
        </w:trPr>
        <w:tc>
          <w:tcPr>
            <w:tcW w:w="2235" w:type="dxa"/>
            <w:tcMar>
              <w:top w:w="57" w:type="dxa"/>
              <w:bottom w:w="57" w:type="dxa"/>
            </w:tcMar>
          </w:tcPr>
          <w:p w:rsidR="00F136CD" w:rsidRPr="00683919" w:rsidRDefault="00F136CD" w:rsidP="00F136CD">
            <w:pPr>
              <w:rPr>
                <w:rFonts w:cstheme="minorHAnsi"/>
              </w:rPr>
            </w:pPr>
          </w:p>
        </w:tc>
        <w:tc>
          <w:tcPr>
            <w:tcW w:w="1984" w:type="dxa"/>
            <w:tcMar>
              <w:top w:w="57" w:type="dxa"/>
              <w:bottom w:w="57" w:type="dxa"/>
            </w:tcMar>
          </w:tcPr>
          <w:p w:rsidR="00F136CD" w:rsidRPr="00683919" w:rsidRDefault="00F136CD" w:rsidP="00F136CD">
            <w:pPr>
              <w:spacing w:line="239" w:lineRule="auto"/>
              <w:rPr>
                <w:rFonts w:cstheme="minorHAnsi"/>
              </w:rPr>
            </w:pPr>
          </w:p>
        </w:tc>
        <w:tc>
          <w:tcPr>
            <w:tcW w:w="4678" w:type="dxa"/>
            <w:tcMar>
              <w:top w:w="57" w:type="dxa"/>
              <w:bottom w:w="57" w:type="dxa"/>
            </w:tcMar>
          </w:tcPr>
          <w:p w:rsidR="00F136CD" w:rsidRPr="00683919" w:rsidRDefault="00F136CD" w:rsidP="00F136CD">
            <w:pPr>
              <w:rPr>
                <w:rFonts w:cstheme="minorHAnsi"/>
              </w:rPr>
            </w:pPr>
            <w:r w:rsidRPr="00683919">
              <w:rPr>
                <w:rFonts w:cstheme="minorHAnsi"/>
              </w:rPr>
              <w:t xml:space="preserve">Total cost </w:t>
            </w:r>
          </w:p>
        </w:tc>
        <w:tc>
          <w:tcPr>
            <w:tcW w:w="6520" w:type="dxa"/>
            <w:gridSpan w:val="2"/>
            <w:tcMar>
              <w:top w:w="57" w:type="dxa"/>
              <w:bottom w:w="57" w:type="dxa"/>
            </w:tcMar>
          </w:tcPr>
          <w:p w:rsidR="00F136CD" w:rsidRPr="00683919" w:rsidRDefault="00F136CD" w:rsidP="00F136CD">
            <w:pPr>
              <w:rPr>
                <w:rFonts w:cstheme="minorHAnsi"/>
              </w:rPr>
            </w:pPr>
            <w:r>
              <w:rPr>
                <w:rFonts w:cstheme="minorHAnsi"/>
              </w:rPr>
              <w:t>£</w:t>
            </w:r>
            <w:r w:rsidR="00D50EE6">
              <w:rPr>
                <w:rFonts w:cstheme="minorHAnsi"/>
              </w:rPr>
              <w:t>49400</w:t>
            </w:r>
          </w:p>
        </w:tc>
      </w:tr>
    </w:tbl>
    <w:p w:rsidR="00E02B70" w:rsidRDefault="00E02B70"/>
    <w:sectPr w:rsidR="00E02B70" w:rsidSect="0092755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55C"/>
    <w:rsid w:val="00146CB5"/>
    <w:rsid w:val="005B1E5C"/>
    <w:rsid w:val="00617097"/>
    <w:rsid w:val="0092755C"/>
    <w:rsid w:val="00A9204C"/>
    <w:rsid w:val="00B769F8"/>
    <w:rsid w:val="00BF7B40"/>
    <w:rsid w:val="00C73C71"/>
    <w:rsid w:val="00D50A48"/>
    <w:rsid w:val="00D50EE6"/>
    <w:rsid w:val="00DB54AE"/>
    <w:rsid w:val="00E02B70"/>
    <w:rsid w:val="00E81B96"/>
    <w:rsid w:val="00F136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5873C"/>
  <w15:chartTrackingRefBased/>
  <w15:docId w15:val="{A5E4CCBA-F285-4A8B-B291-9DC795C10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55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List,Colorful List - Accent 11"/>
    <w:basedOn w:val="Normal"/>
    <w:link w:val="ListParagraphChar"/>
    <w:uiPriority w:val="34"/>
    <w:qFormat/>
    <w:rsid w:val="0092755C"/>
    <w:pPr>
      <w:ind w:left="720"/>
    </w:pPr>
  </w:style>
  <w:style w:type="table" w:styleId="TableGrid">
    <w:name w:val="Table Grid"/>
    <w:basedOn w:val="TableNormal"/>
    <w:uiPriority w:val="59"/>
    <w:rsid w:val="00927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List Char,Colorful List - Accent 11 Char"/>
    <w:link w:val="ListParagraph"/>
    <w:uiPriority w:val="34"/>
    <w:rsid w:val="0092755C"/>
  </w:style>
  <w:style w:type="paragraph" w:styleId="NormalWeb">
    <w:name w:val="Normal (Web)"/>
    <w:basedOn w:val="Normal"/>
    <w:uiPriority w:val="99"/>
    <w:unhideWhenUsed/>
    <w:rsid w:val="0092755C"/>
    <w:pPr>
      <w:spacing w:before="100" w:beforeAutospacing="1" w:after="240"/>
    </w:pPr>
    <w:rPr>
      <w:rFonts w:ascii="Times New Roman" w:eastAsia="Times New Roman" w:hAnsi="Times New Roman" w:cs="Times New Roman"/>
      <w:sz w:val="24"/>
      <w:szCs w:val="24"/>
      <w:lang w:eastAsia="en-GB"/>
    </w:rPr>
  </w:style>
  <w:style w:type="paragraph" w:customStyle="1" w:styleId="TableRow">
    <w:name w:val="TableRow"/>
    <w:rsid w:val="0092755C"/>
    <w:pPr>
      <w:suppressAutoHyphens/>
      <w:autoSpaceDN w:val="0"/>
      <w:spacing w:before="60" w:after="60" w:line="240" w:lineRule="auto"/>
      <w:ind w:left="57" w:right="57"/>
      <w:textAlignment w:val="baseline"/>
    </w:pPr>
    <w:rPr>
      <w:rFonts w:ascii="Arial" w:eastAsia="Times New Roman" w:hAnsi="Arial" w:cs="Times New Roman"/>
      <w:color w:val="0D0D0D"/>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Jackson</dc:creator>
  <cp:keywords/>
  <dc:description/>
  <cp:lastModifiedBy>Emma Jackson</cp:lastModifiedBy>
  <cp:revision>6</cp:revision>
  <dcterms:created xsi:type="dcterms:W3CDTF">2021-09-30T12:30:00Z</dcterms:created>
  <dcterms:modified xsi:type="dcterms:W3CDTF">2021-10-01T09:13:00Z</dcterms:modified>
</cp:coreProperties>
</file>